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02" w:rsidRDefault="00A63102">
      <w:pPr>
        <w:pStyle w:val="Heading1"/>
        <w:rPr>
          <w:rFonts w:ascii="Bradley Hand ITC" w:hAnsi="Bradley Hand ITC"/>
          <w:sz w:val="28"/>
        </w:rPr>
      </w:pPr>
      <w:r>
        <w:rPr>
          <w:rFonts w:ascii="Bradley Hand ITC" w:hAnsi="Bradley Hand ITC"/>
          <w:sz w:val="28"/>
        </w:rPr>
        <w:t>EDU</w:t>
      </w:r>
      <w:r w:rsidR="00B4578F">
        <w:rPr>
          <w:rFonts w:ascii="Bradley Hand ITC" w:hAnsi="Bradley Hand ITC"/>
          <w:sz w:val="28"/>
        </w:rPr>
        <w:t>400</w:t>
      </w:r>
    </w:p>
    <w:p w:rsidR="00A63102" w:rsidRDefault="00FA2143">
      <w:pPr>
        <w:pStyle w:val="Heading1"/>
        <w:rPr>
          <w:rFonts w:ascii="Bradley Hand ITC" w:hAnsi="Bradley Hand ITC"/>
          <w:sz w:val="28"/>
        </w:rPr>
      </w:pPr>
      <w:r w:rsidRPr="00FA2143">
        <w:rPr>
          <w:noProof/>
          <w:sz w:val="20"/>
        </w:rPr>
        <w:pict>
          <v:shapetype id="_x0000_t202" coordsize="21600,21600" o:spt="202" path="m,l,21600r21600,l21600,xe">
            <v:stroke joinstyle="miter"/>
            <v:path gradientshapeok="t" o:connecttype="rect"/>
          </v:shapetype>
          <v:shape id="_x0000_s1034" type="#_x0000_t202" style="position:absolute;left:0;text-align:left;margin-left:-13.95pt;margin-top:9.75pt;width:207pt;height:251.7pt;z-index:251658240">
            <v:textbox style="mso-next-textbox:#_x0000_s1034">
              <w:txbxContent>
                <w:p w:rsidR="00214D2D" w:rsidRDefault="00214D2D">
                  <w:pPr>
                    <w:rPr>
                      <w:sz w:val="24"/>
                    </w:rPr>
                  </w:pPr>
                </w:p>
                <w:p w:rsidR="00214D2D" w:rsidRDefault="00214D2D">
                  <w:r>
                    <w:rPr>
                      <w:noProof/>
                    </w:rPr>
                    <w:drawing>
                      <wp:inline distT="0" distB="0" distL="0" distR="0">
                        <wp:extent cx="2286000" cy="2628900"/>
                        <wp:effectExtent l="19050" t="0" r="0" b="0"/>
                        <wp:docPr id="1" name="Picture 1" descr="usf_edu_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f_edu_model"/>
                                <pic:cNvPicPr>
                                  <a:picLocks noChangeAspect="1" noChangeArrowheads="1"/>
                                </pic:cNvPicPr>
                              </pic:nvPicPr>
                              <pic:blipFill>
                                <a:blip r:embed="rId8"/>
                                <a:srcRect/>
                                <a:stretch>
                                  <a:fillRect/>
                                </a:stretch>
                              </pic:blipFill>
                              <pic:spPr bwMode="auto">
                                <a:xfrm>
                                  <a:off x="0" y="0"/>
                                  <a:ext cx="2286000" cy="2628900"/>
                                </a:xfrm>
                                <a:prstGeom prst="rect">
                                  <a:avLst/>
                                </a:prstGeom>
                                <a:noFill/>
                                <a:ln w="9525">
                                  <a:noFill/>
                                  <a:miter lim="800000"/>
                                  <a:headEnd/>
                                  <a:tailEnd/>
                                </a:ln>
                              </pic:spPr>
                            </pic:pic>
                          </a:graphicData>
                        </a:graphic>
                      </wp:inline>
                    </w:drawing>
                  </w:r>
                </w:p>
              </w:txbxContent>
            </v:textbox>
            <w10:wrap type="square"/>
          </v:shape>
        </w:pict>
      </w:r>
      <w:r w:rsidR="00B4578F">
        <w:rPr>
          <w:rFonts w:ascii="Bradley Hand ITC" w:hAnsi="Bradley Hand ITC"/>
          <w:sz w:val="28"/>
        </w:rPr>
        <w:t>Portfolio Development</w:t>
      </w:r>
    </w:p>
    <w:p w:rsidR="00A63102" w:rsidRDefault="00A63102">
      <w:pPr>
        <w:jc w:val="right"/>
        <w:rPr>
          <w:rFonts w:ascii="Bradley Hand ITC" w:hAnsi="Bradley Hand ITC"/>
          <w:sz w:val="28"/>
        </w:rPr>
      </w:pPr>
      <w:r>
        <w:rPr>
          <w:rFonts w:ascii="Bradley Hand ITC" w:hAnsi="Bradley Hand ITC"/>
          <w:sz w:val="28"/>
        </w:rPr>
        <w:t>The University of Sioux Falls</w:t>
      </w:r>
    </w:p>
    <w:p w:rsidR="00A63102" w:rsidRDefault="00086A7E">
      <w:pPr>
        <w:pStyle w:val="Heading1"/>
        <w:rPr>
          <w:rFonts w:ascii="Bradley Hand ITC" w:hAnsi="Bradley Hand ITC"/>
          <w:sz w:val="28"/>
        </w:rPr>
      </w:pPr>
      <w:r>
        <w:rPr>
          <w:rFonts w:ascii="Bradley Hand ITC" w:hAnsi="Bradley Hand ITC"/>
          <w:sz w:val="28"/>
        </w:rPr>
        <w:t>Interim, 2011</w:t>
      </w:r>
    </w:p>
    <w:p w:rsidR="00A63102" w:rsidRDefault="00FA2143">
      <w:pPr>
        <w:rPr>
          <w:sz w:val="24"/>
        </w:rPr>
      </w:pPr>
      <w:r w:rsidRPr="00FA2143">
        <w:rPr>
          <w:noProof/>
        </w:rPr>
        <w:pict>
          <v:shape id="_x0000_s1033" type="#_x0000_t202" style="position:absolute;margin-left:26.95pt;margin-top:2.35pt;width:234pt;height:189pt;z-index:251657216">
            <v:textbox>
              <w:txbxContent>
                <w:p w:rsidR="00214D2D" w:rsidRDefault="00214D2D">
                  <w:pPr>
                    <w:jc w:val="center"/>
                    <w:rPr>
                      <w:rFonts w:ascii="Bradley Hand ITC" w:hAnsi="Bradley Hand ITC"/>
                      <w:sz w:val="24"/>
                    </w:rPr>
                  </w:pPr>
                  <w:r>
                    <w:rPr>
                      <w:rFonts w:ascii="Bradley Hand ITC" w:hAnsi="Bradley Hand ITC"/>
                      <w:sz w:val="24"/>
                    </w:rPr>
                    <w:t xml:space="preserve">Mission </w:t>
                  </w:r>
                  <w:proofErr w:type="gramStart"/>
                  <w:r>
                    <w:rPr>
                      <w:rFonts w:ascii="Bradley Hand ITC" w:hAnsi="Bradley Hand ITC"/>
                      <w:sz w:val="24"/>
                    </w:rPr>
                    <w:t>Statement :</w:t>
                  </w:r>
                  <w:smartTag w:uri="urn:schemas-microsoft-com:office:smarttags" w:element="place">
                    <w:r>
                      <w:rPr>
                        <w:rFonts w:ascii="Bradley Hand ITC" w:hAnsi="Bradley Hand ITC"/>
                        <w:sz w:val="24"/>
                      </w:rPr>
                      <w:t>University</w:t>
                    </w:r>
                    <w:proofErr w:type="gramEnd"/>
                    <w:r>
                      <w:rPr>
                        <w:rFonts w:ascii="Bradley Hand ITC" w:hAnsi="Bradley Hand ITC"/>
                        <w:sz w:val="24"/>
                      </w:rPr>
                      <w:t xml:space="preserve"> of </w:t>
                    </w:r>
                    <w:smartTag w:uri="urn:schemas-microsoft-com:office:smarttags" w:element="PlaceName">
                      <w:r>
                        <w:rPr>
                          <w:rFonts w:ascii="Bradley Hand ITC" w:hAnsi="Bradley Hand ITC"/>
                          <w:sz w:val="24"/>
                        </w:rPr>
                        <w:t>Sioux Falls</w:t>
                      </w:r>
                    </w:smartTag>
                  </w:smartTag>
                </w:p>
                <w:p w:rsidR="00214D2D" w:rsidRDefault="00214D2D">
                  <w:pPr>
                    <w:jc w:val="center"/>
                    <w:rPr>
                      <w:rFonts w:ascii="Bradley Hand ITC" w:hAnsi="Bradley Hand ITC"/>
                      <w:sz w:val="24"/>
                    </w:rPr>
                  </w:pPr>
                </w:p>
                <w:p w:rsidR="00214D2D" w:rsidRDefault="00214D2D">
                  <w:pPr>
                    <w:jc w:val="center"/>
                  </w:pPr>
                  <w:r>
                    <w:rPr>
                      <w:rFonts w:ascii="Bradley Hand ITC" w:hAnsi="Bradley Hand ITC"/>
                      <w:sz w:val="24"/>
                    </w:rPr>
                    <w:t xml:space="preserve">The </w:t>
                  </w:r>
                  <w:smartTag w:uri="urn:schemas-microsoft-com:office:smarttags" w:element="PlaceType">
                    <w:r>
                      <w:rPr>
                        <w:rFonts w:ascii="Bradley Hand ITC" w:hAnsi="Bradley Hand ITC"/>
                        <w:sz w:val="24"/>
                      </w:rPr>
                      <w:t>University</w:t>
                    </w:r>
                  </w:smartTag>
                  <w:r>
                    <w:rPr>
                      <w:rFonts w:ascii="Bradley Hand ITC" w:hAnsi="Bradley Hand ITC"/>
                      <w:sz w:val="24"/>
                    </w:rPr>
                    <w:t xml:space="preserve"> of </w:t>
                  </w:r>
                  <w:smartTag w:uri="urn:schemas-microsoft-com:office:smarttags" w:element="PlaceName">
                    <w:r>
                      <w:rPr>
                        <w:rFonts w:ascii="Bradley Hand ITC" w:hAnsi="Bradley Hand ITC"/>
                        <w:sz w:val="24"/>
                      </w:rPr>
                      <w:t>Sioux Falls</w:t>
                    </w:r>
                  </w:smartTag>
                  <w:r>
                    <w:rPr>
                      <w:rFonts w:ascii="Bradley Hand ITC" w:hAnsi="Bradley Hand ITC"/>
                      <w:sz w:val="24"/>
                    </w:rPr>
                    <w:t xml:space="preserve">, a </w:t>
                  </w:r>
                  <w:smartTag w:uri="urn:schemas-microsoft-com:office:smarttags" w:element="place">
                    <w:smartTag w:uri="urn:schemas-microsoft-com:office:smarttags" w:element="PlaceName">
                      <w:r>
                        <w:rPr>
                          <w:rFonts w:ascii="Bradley Hand ITC" w:hAnsi="Bradley Hand ITC"/>
                          <w:sz w:val="24"/>
                        </w:rPr>
                        <w:t>Christian</w:t>
                      </w:r>
                    </w:smartTag>
                    <w:r>
                      <w:rPr>
                        <w:rFonts w:ascii="Bradley Hand ITC" w:hAnsi="Bradley Hand ITC"/>
                        <w:sz w:val="24"/>
                      </w:rPr>
                      <w:t xml:space="preserve"> </w:t>
                    </w:r>
                    <w:smartTag w:uri="urn:schemas-microsoft-com:office:smarttags" w:element="PlaceName">
                      <w:r>
                        <w:rPr>
                          <w:rFonts w:ascii="Bradley Hand ITC" w:hAnsi="Bradley Hand ITC"/>
                          <w:sz w:val="24"/>
                        </w:rPr>
                        <w:t>University</w:t>
                      </w:r>
                    </w:smartTag>
                  </w:smartTag>
                  <w:r>
                    <w:rPr>
                      <w:rFonts w:ascii="Bradley Hand ITC" w:hAnsi="Bradley Hand ITC"/>
                      <w:sz w:val="24"/>
                    </w:rPr>
                    <w:t xml:space="preserve"> in the liberal arts tradition, educates students in the humanities, sciences, and professions. The traditional motto of the University is Culture for Service; that is, we seek to foster academic excellence and the development of mature Christian persons for service to God and humankind in the world.</w:t>
                  </w:r>
                </w:p>
              </w:txbxContent>
            </v:textbox>
          </v:shape>
        </w:pict>
      </w:r>
    </w:p>
    <w:p w:rsidR="00A63102" w:rsidRDefault="00A63102">
      <w:pPr>
        <w:jc w:val="center"/>
        <w:rPr>
          <w:sz w:val="24"/>
        </w:rPr>
      </w:pPr>
    </w:p>
    <w:p w:rsidR="00A63102" w:rsidRDefault="00A63102">
      <w:pPr>
        <w:rPr>
          <w:sz w:val="24"/>
        </w:rPr>
      </w:pPr>
    </w:p>
    <w:p w:rsidR="00A63102" w:rsidRDefault="00A63102">
      <w:pPr>
        <w:rPr>
          <w:sz w:val="24"/>
        </w:rPr>
      </w:pPr>
    </w:p>
    <w:p w:rsidR="00A63102" w:rsidRDefault="00A63102">
      <w:pPr>
        <w:rPr>
          <w:sz w:val="24"/>
        </w:rPr>
      </w:pPr>
    </w:p>
    <w:p w:rsidR="00A63102" w:rsidRDefault="00A63102">
      <w:pPr>
        <w:rPr>
          <w:sz w:val="24"/>
        </w:rPr>
      </w:pPr>
    </w:p>
    <w:p w:rsidR="00A63102" w:rsidRDefault="00A63102">
      <w:pPr>
        <w:rPr>
          <w:sz w:val="24"/>
        </w:rPr>
      </w:pPr>
    </w:p>
    <w:p w:rsidR="00A63102" w:rsidRDefault="00A63102">
      <w:pPr>
        <w:rPr>
          <w:sz w:val="24"/>
        </w:rPr>
      </w:pPr>
    </w:p>
    <w:p w:rsidR="00A63102" w:rsidRDefault="00A63102">
      <w:pPr>
        <w:rPr>
          <w:sz w:val="24"/>
        </w:rPr>
      </w:pPr>
    </w:p>
    <w:p w:rsidR="00A63102" w:rsidRDefault="00A63102">
      <w:pPr>
        <w:rPr>
          <w:sz w:val="24"/>
        </w:rPr>
      </w:pPr>
    </w:p>
    <w:p w:rsidR="00A63102" w:rsidRDefault="00A63102">
      <w:pPr>
        <w:rPr>
          <w:sz w:val="24"/>
        </w:rPr>
      </w:pPr>
    </w:p>
    <w:p w:rsidR="00A63102" w:rsidRDefault="00A63102">
      <w:pPr>
        <w:rPr>
          <w:sz w:val="24"/>
        </w:rPr>
      </w:pPr>
    </w:p>
    <w:p w:rsidR="00A63102" w:rsidRDefault="00A63102">
      <w:pPr>
        <w:rPr>
          <w:sz w:val="24"/>
        </w:rPr>
      </w:pPr>
    </w:p>
    <w:p w:rsidR="00A63102" w:rsidRDefault="00A63102">
      <w:pPr>
        <w:rPr>
          <w:sz w:val="24"/>
        </w:rPr>
      </w:pPr>
    </w:p>
    <w:p w:rsidR="001F006D" w:rsidRDefault="001F006D" w:rsidP="006F0CED">
      <w:pPr>
        <w:rPr>
          <w:rStyle w:val="Hyperlink"/>
          <w:sz w:val="24"/>
        </w:rPr>
      </w:pPr>
    </w:p>
    <w:p w:rsidR="00A63102" w:rsidRDefault="00A63102">
      <w:pPr>
        <w:rPr>
          <w:rStyle w:val="Hyperlink"/>
          <w:sz w:val="24"/>
        </w:rPr>
      </w:pPr>
    </w:p>
    <w:p w:rsidR="00AE29C6" w:rsidRPr="00AE29C6" w:rsidRDefault="00A63102" w:rsidP="00AE29C6">
      <w:pPr>
        <w:rPr>
          <w:sz w:val="24"/>
          <w:szCs w:val="24"/>
        </w:rPr>
      </w:pPr>
      <w:r>
        <w:rPr>
          <w:rFonts w:ascii="Bradley Hand ITC" w:hAnsi="Bradley Hand ITC"/>
          <w:sz w:val="24"/>
          <w:u w:val="single"/>
        </w:rPr>
        <w:t>Course Description:</w:t>
      </w:r>
      <w:r w:rsidR="00AE29C6">
        <w:rPr>
          <w:rFonts w:ascii="Bradley Hand ITC" w:hAnsi="Bradley Hand ITC"/>
          <w:sz w:val="24"/>
          <w:u w:val="single"/>
        </w:rPr>
        <w:t xml:space="preserve"> </w:t>
      </w:r>
      <w:r w:rsidR="00AE29C6" w:rsidRPr="00AE29C6">
        <w:rPr>
          <w:sz w:val="24"/>
          <w:szCs w:val="24"/>
        </w:rPr>
        <w:t xml:space="preserve"> A collaborative, hands-on course, designed to assist teacher candidates with developing, assembling, and organizing the evidence and artifacts that demonstrate competency in the six sections of the Education curriculum model.  Students will learn the format and amount of evidence needed to establish competency in these areas.  </w:t>
      </w:r>
    </w:p>
    <w:p w:rsidR="00AE29C6" w:rsidRPr="00AE29C6" w:rsidRDefault="00AE29C6" w:rsidP="00AE29C6">
      <w:pPr>
        <w:rPr>
          <w:sz w:val="24"/>
          <w:szCs w:val="24"/>
        </w:rPr>
      </w:pPr>
      <w:r w:rsidRPr="00AE29C6">
        <w:rPr>
          <w:sz w:val="24"/>
          <w:szCs w:val="24"/>
        </w:rPr>
        <w:t> </w:t>
      </w:r>
    </w:p>
    <w:p w:rsidR="00A63102" w:rsidRDefault="00A63102">
      <w:pPr>
        <w:rPr>
          <w:sz w:val="22"/>
        </w:rPr>
      </w:pPr>
    </w:p>
    <w:p w:rsidR="00A63102" w:rsidRDefault="00A63102">
      <w:pPr>
        <w:pStyle w:val="BodyText"/>
      </w:pPr>
      <w:proofErr w:type="gramStart"/>
      <w:r>
        <w:rPr>
          <w:rFonts w:ascii="Bradley Hand ITC" w:hAnsi="Bradley Hand ITC"/>
          <w:u w:val="single"/>
        </w:rPr>
        <w:t>Course Prerequisites</w:t>
      </w:r>
      <w:r>
        <w:rPr>
          <w:rFonts w:ascii="Bradley Hand ITC" w:hAnsi="Bradley Hand ITC"/>
        </w:rPr>
        <w:t xml:space="preserve">: </w:t>
      </w:r>
      <w:r>
        <w:t>Acceptance into the teacher education program</w:t>
      </w:r>
      <w:r w:rsidR="00B4578F">
        <w:t>.</w:t>
      </w:r>
      <w:proofErr w:type="gramEnd"/>
      <w:r w:rsidR="00B4578F">
        <w:t xml:space="preserve">  Ideally, this course should be taken the semester before you student teach, but may be taken earlier.  Please let the instructor know if you are planning to do this.  </w:t>
      </w:r>
      <w:r>
        <w:t xml:space="preserve"> </w:t>
      </w:r>
    </w:p>
    <w:p w:rsidR="00A63102" w:rsidRDefault="00A63102">
      <w:pPr>
        <w:rPr>
          <w:sz w:val="22"/>
        </w:rPr>
      </w:pPr>
    </w:p>
    <w:p w:rsidR="00AE29C6" w:rsidRDefault="00A63102" w:rsidP="00AE29C6">
      <w:pPr>
        <w:ind w:left="720"/>
        <w:rPr>
          <w:rFonts w:ascii="Bradley Hand ITC" w:hAnsi="Bradley Hand ITC"/>
          <w:sz w:val="24"/>
        </w:rPr>
      </w:pPr>
      <w:r>
        <w:rPr>
          <w:rFonts w:ascii="Bradley Hand ITC" w:hAnsi="Bradley Hand ITC"/>
          <w:sz w:val="24"/>
          <w:u w:val="single"/>
        </w:rPr>
        <w:t>Course Objectives</w:t>
      </w:r>
      <w:r>
        <w:rPr>
          <w:rFonts w:ascii="Bradley Hand ITC" w:hAnsi="Bradley Hand ITC"/>
          <w:sz w:val="24"/>
        </w:rPr>
        <w:t xml:space="preserve">:  </w:t>
      </w:r>
    </w:p>
    <w:p w:rsidR="00AE29C6" w:rsidRPr="00AE29C6" w:rsidRDefault="00AE29C6" w:rsidP="00AE29C6">
      <w:pPr>
        <w:numPr>
          <w:ilvl w:val="0"/>
          <w:numId w:val="33"/>
        </w:numPr>
        <w:rPr>
          <w:sz w:val="24"/>
          <w:szCs w:val="24"/>
        </w:rPr>
      </w:pPr>
      <w:r w:rsidRPr="00AE29C6">
        <w:rPr>
          <w:sz w:val="24"/>
          <w:szCs w:val="24"/>
        </w:rPr>
        <w:t xml:space="preserve">After completing major education classes, students will prepare a </w:t>
      </w:r>
      <w:proofErr w:type="gramStart"/>
      <w:r w:rsidRPr="00AE29C6">
        <w:rPr>
          <w:sz w:val="24"/>
          <w:szCs w:val="24"/>
        </w:rPr>
        <w:t>web based</w:t>
      </w:r>
      <w:proofErr w:type="gramEnd"/>
      <w:r w:rsidRPr="00AE29C6">
        <w:rPr>
          <w:sz w:val="24"/>
          <w:szCs w:val="24"/>
        </w:rPr>
        <w:t xml:space="preserve"> portfolio that meets all requirements of the rubric.</w:t>
      </w:r>
    </w:p>
    <w:p w:rsidR="00AE29C6" w:rsidRPr="00AE29C6" w:rsidRDefault="00AE29C6" w:rsidP="00AE29C6">
      <w:pPr>
        <w:numPr>
          <w:ilvl w:val="0"/>
          <w:numId w:val="33"/>
        </w:numPr>
        <w:rPr>
          <w:sz w:val="24"/>
          <w:szCs w:val="24"/>
        </w:rPr>
      </w:pPr>
      <w:r>
        <w:rPr>
          <w:sz w:val="24"/>
          <w:szCs w:val="24"/>
        </w:rPr>
        <w:t>A</w:t>
      </w:r>
      <w:r w:rsidRPr="00AE29C6">
        <w:rPr>
          <w:sz w:val="24"/>
          <w:szCs w:val="24"/>
        </w:rPr>
        <w:t xml:space="preserve">fter completing major education classes, students will choose selected artifacts that align with the USF curriculum model sections.  </w:t>
      </w:r>
    </w:p>
    <w:p w:rsidR="00AE29C6" w:rsidRPr="00AE29C6" w:rsidRDefault="00AE29C6" w:rsidP="00AE29C6">
      <w:pPr>
        <w:numPr>
          <w:ilvl w:val="0"/>
          <w:numId w:val="33"/>
        </w:numPr>
        <w:rPr>
          <w:sz w:val="24"/>
          <w:szCs w:val="24"/>
        </w:rPr>
      </w:pPr>
      <w:r w:rsidRPr="00AE29C6">
        <w:rPr>
          <w:sz w:val="24"/>
          <w:szCs w:val="24"/>
        </w:rPr>
        <w:t xml:space="preserve">After each section of the rubric is completed, students will write a 1-2 page reflection of why the artifacts </w:t>
      </w:r>
      <w:proofErr w:type="gramStart"/>
      <w:r w:rsidRPr="00AE29C6">
        <w:rPr>
          <w:sz w:val="24"/>
          <w:szCs w:val="24"/>
        </w:rPr>
        <w:t>were chosen</w:t>
      </w:r>
      <w:proofErr w:type="gramEnd"/>
      <w:r w:rsidRPr="00AE29C6">
        <w:rPr>
          <w:sz w:val="24"/>
          <w:szCs w:val="24"/>
        </w:rPr>
        <w:t xml:space="preserve"> and growth in that area. </w:t>
      </w:r>
    </w:p>
    <w:p w:rsidR="00AE29C6" w:rsidRPr="00AE29C6" w:rsidRDefault="00AE29C6" w:rsidP="00AE29C6">
      <w:pPr>
        <w:numPr>
          <w:ilvl w:val="0"/>
          <w:numId w:val="33"/>
        </w:numPr>
        <w:rPr>
          <w:sz w:val="24"/>
          <w:szCs w:val="24"/>
        </w:rPr>
      </w:pPr>
      <w:r w:rsidRPr="00AE29C6">
        <w:rPr>
          <w:sz w:val="24"/>
          <w:szCs w:val="24"/>
        </w:rPr>
        <w:t xml:space="preserve">After completing major education classes, students will demonstrate a synthesis of course content through their portfolio artifacts.  </w:t>
      </w:r>
    </w:p>
    <w:p w:rsidR="00A63102" w:rsidRDefault="00A63102" w:rsidP="00AE29C6">
      <w:pPr>
        <w:tabs>
          <w:tab w:val="left" w:pos="360"/>
        </w:tabs>
        <w:rPr>
          <w:sz w:val="22"/>
        </w:rPr>
      </w:pPr>
    </w:p>
    <w:p w:rsidR="00AE29C6" w:rsidRDefault="00AE29C6" w:rsidP="00AE29C6">
      <w:pPr>
        <w:tabs>
          <w:tab w:val="left" w:pos="360"/>
        </w:tabs>
        <w:rPr>
          <w:sz w:val="22"/>
        </w:rPr>
      </w:pPr>
    </w:p>
    <w:p w:rsidR="00A63102" w:rsidRDefault="00A63102">
      <w:pPr>
        <w:tabs>
          <w:tab w:val="left" w:pos="720"/>
        </w:tabs>
        <w:ind w:left="720"/>
        <w:rPr>
          <w:sz w:val="22"/>
        </w:rPr>
      </w:pPr>
    </w:p>
    <w:p w:rsidR="00A63102" w:rsidRDefault="00A63102">
      <w:pPr>
        <w:rPr>
          <w:rFonts w:ascii="Bradley Hand ITC" w:hAnsi="Bradley Hand ITC"/>
          <w:sz w:val="24"/>
        </w:rPr>
      </w:pPr>
      <w:r>
        <w:rPr>
          <w:rFonts w:ascii="Bradley Hand ITC" w:hAnsi="Bradley Hand ITC"/>
          <w:sz w:val="24"/>
          <w:u w:val="single"/>
        </w:rPr>
        <w:t>Course Requirements and Assessment of Student Learning</w:t>
      </w:r>
      <w:r>
        <w:rPr>
          <w:rFonts w:ascii="Bradley Hand ITC" w:hAnsi="Bradley Hand ITC"/>
          <w:sz w:val="24"/>
        </w:rPr>
        <w:t>:</w:t>
      </w:r>
    </w:p>
    <w:p w:rsidR="00A63102" w:rsidRDefault="00A63102">
      <w:pPr>
        <w:rPr>
          <w:rFonts w:ascii="TechnoHeavy" w:hAnsi="TechnoHeavy"/>
          <w:sz w:val="24"/>
        </w:rPr>
      </w:pPr>
    </w:p>
    <w:p w:rsidR="00A63102" w:rsidRDefault="00A63102" w:rsidP="00C32B66">
      <w:pPr>
        <w:numPr>
          <w:ilvl w:val="0"/>
          <w:numId w:val="8"/>
        </w:numPr>
        <w:tabs>
          <w:tab w:val="left" w:pos="0"/>
        </w:tabs>
        <w:ind w:left="0" w:firstLine="0"/>
        <w:rPr>
          <w:rFonts w:ascii="TechnoHeavy" w:hAnsi="TechnoHeavy"/>
          <w:sz w:val="24"/>
        </w:rPr>
      </w:pPr>
      <w:r>
        <w:rPr>
          <w:rFonts w:ascii="Bradley Hand ITC" w:hAnsi="Bradley Hand ITC"/>
          <w:sz w:val="24"/>
          <w:u w:val="single"/>
        </w:rPr>
        <w:lastRenderedPageBreak/>
        <w:t xml:space="preserve">Full participation in class </w:t>
      </w:r>
      <w:proofErr w:type="gramStart"/>
      <w:r>
        <w:rPr>
          <w:rFonts w:ascii="Bradley Hand ITC" w:hAnsi="Bradley Hand ITC"/>
          <w:sz w:val="24"/>
          <w:u w:val="single"/>
        </w:rPr>
        <w:t>is expected</w:t>
      </w:r>
      <w:proofErr w:type="gramEnd"/>
      <w:r>
        <w:rPr>
          <w:rFonts w:ascii="Bradley Hand ITC" w:hAnsi="Bradley Hand ITC"/>
          <w:sz w:val="24"/>
        </w:rPr>
        <w:t>:</w:t>
      </w:r>
      <w:r>
        <w:rPr>
          <w:rFonts w:ascii="TechnoHeavy" w:hAnsi="TechnoHeavy"/>
          <w:sz w:val="24"/>
        </w:rPr>
        <w:t xml:space="preserve"> </w:t>
      </w:r>
      <w:r>
        <w:rPr>
          <w:sz w:val="22"/>
        </w:rPr>
        <w:t xml:space="preserve"> Please contact me if difficulties arise during the course, before they affect your performance in the class.  </w:t>
      </w:r>
    </w:p>
    <w:p w:rsidR="00C32B66" w:rsidRPr="00CC19DC" w:rsidRDefault="00C32B66" w:rsidP="00C32B66">
      <w:pPr>
        <w:jc w:val="center"/>
        <w:rPr>
          <w:sz w:val="22"/>
          <w:szCs w:val="22"/>
        </w:rPr>
      </w:pPr>
      <w:r w:rsidRPr="00CC19DC">
        <w:rPr>
          <w:bCs/>
          <w:i/>
          <w:sz w:val="22"/>
          <w:szCs w:val="22"/>
        </w:rPr>
        <w:t>Disability Statement for Syllabus</w:t>
      </w:r>
      <w:r w:rsidRPr="00CC19DC">
        <w:rPr>
          <w:bCs/>
          <w:sz w:val="22"/>
          <w:szCs w:val="22"/>
        </w:rPr>
        <w:t>:</w:t>
      </w:r>
    </w:p>
    <w:p w:rsidR="00EA43C9" w:rsidRPr="00446462" w:rsidRDefault="00EA43C9" w:rsidP="00EA43C9">
      <w:pPr>
        <w:jc w:val="center"/>
        <w:rPr>
          <w:bCs/>
          <w:sz w:val="22"/>
          <w:szCs w:val="22"/>
        </w:rPr>
      </w:pPr>
    </w:p>
    <w:p w:rsidR="00EA43C9" w:rsidRPr="00446462" w:rsidRDefault="00EA43C9" w:rsidP="00EA43C9">
      <w:pPr>
        <w:ind w:left="360"/>
        <w:rPr>
          <w:sz w:val="22"/>
          <w:szCs w:val="22"/>
        </w:rPr>
      </w:pPr>
      <w:r w:rsidRPr="00446462">
        <w:rPr>
          <w:sz w:val="22"/>
          <w:szCs w:val="22"/>
        </w:rPr>
        <w:t xml:space="preserve">If you have a documented disability for which you are or may be requesting accommodations, you are encouraged to contact Learning Accessibility Services. Billie </w:t>
      </w:r>
      <w:proofErr w:type="spellStart"/>
      <w:r w:rsidRPr="00446462">
        <w:rPr>
          <w:sz w:val="22"/>
          <w:szCs w:val="22"/>
        </w:rPr>
        <w:t>Streufert</w:t>
      </w:r>
      <w:proofErr w:type="spellEnd"/>
      <w:r w:rsidRPr="00446462">
        <w:rPr>
          <w:sz w:val="22"/>
          <w:szCs w:val="22"/>
        </w:rPr>
        <w:t xml:space="preserve">, the Director of Career &amp; Learning Accessibility Services </w:t>
      </w:r>
      <w:proofErr w:type="gramStart"/>
      <w:r w:rsidRPr="00446462">
        <w:rPr>
          <w:sz w:val="22"/>
          <w:szCs w:val="22"/>
        </w:rPr>
        <w:t>may be reached</w:t>
      </w:r>
      <w:proofErr w:type="gramEnd"/>
      <w:r w:rsidRPr="00446462">
        <w:rPr>
          <w:sz w:val="22"/>
          <w:szCs w:val="22"/>
        </w:rPr>
        <w:t xml:space="preserve"> at 605-331-6648 or </w:t>
      </w:r>
      <w:hyperlink r:id="rId9" w:history="1">
        <w:r w:rsidRPr="00446462">
          <w:rPr>
            <w:rStyle w:val="Hyperlink"/>
            <w:sz w:val="22"/>
            <w:szCs w:val="22"/>
          </w:rPr>
          <w:t>billie.streufert@usiouxfalls.edu</w:t>
        </w:r>
      </w:hyperlink>
      <w:r w:rsidRPr="00446462">
        <w:rPr>
          <w:sz w:val="22"/>
          <w:szCs w:val="22"/>
        </w:rPr>
        <w:t xml:space="preserve"> and are located in the Academic Success Center (lower level of the McDonald Center).</w:t>
      </w:r>
    </w:p>
    <w:p w:rsidR="00F906A8" w:rsidRDefault="00F906A8">
      <w:pPr>
        <w:pStyle w:val="BodyTextIndent"/>
      </w:pPr>
    </w:p>
    <w:p w:rsidR="00EA43C9" w:rsidRPr="00EA43C9" w:rsidRDefault="00A63102" w:rsidP="006A364C">
      <w:pPr>
        <w:numPr>
          <w:ilvl w:val="0"/>
          <w:numId w:val="11"/>
        </w:numPr>
        <w:ind w:left="0" w:firstLine="0"/>
        <w:rPr>
          <w:sz w:val="22"/>
        </w:rPr>
      </w:pPr>
      <w:r>
        <w:rPr>
          <w:rFonts w:ascii="Bradley Hand ITC" w:hAnsi="Bradley Hand ITC"/>
          <w:sz w:val="24"/>
          <w:u w:val="single"/>
        </w:rPr>
        <w:t xml:space="preserve">Campus E-Mail Account: </w:t>
      </w:r>
      <w:r>
        <w:rPr>
          <w:sz w:val="24"/>
        </w:rPr>
        <w:t xml:space="preserve"> All students are required </w:t>
      </w:r>
      <w:r w:rsidR="006A364C">
        <w:rPr>
          <w:sz w:val="24"/>
        </w:rPr>
        <w:t>to have a campus e-mail account (or some type of email account you can access).</w:t>
      </w:r>
      <w:r>
        <w:rPr>
          <w:sz w:val="24"/>
        </w:rPr>
        <w:t xml:space="preserve">  These e-mail accounts are accessible from </w:t>
      </w:r>
      <w:proofErr w:type="gramStart"/>
      <w:r>
        <w:rPr>
          <w:sz w:val="24"/>
        </w:rPr>
        <w:t>anyplace</w:t>
      </w:r>
      <w:proofErr w:type="gramEnd"/>
      <w:r>
        <w:rPr>
          <w:sz w:val="24"/>
        </w:rPr>
        <w:t xml:space="preserve"> with an Internet account.  I will post reminders and forward information via university e-mail accounts only.  Please check your email frequently.  </w:t>
      </w:r>
    </w:p>
    <w:p w:rsidR="00A63102" w:rsidRPr="00B05581" w:rsidRDefault="00A63102" w:rsidP="00EA43C9">
      <w:pPr>
        <w:rPr>
          <w:sz w:val="22"/>
        </w:rPr>
      </w:pPr>
      <w:r>
        <w:rPr>
          <w:sz w:val="24"/>
        </w:rPr>
        <w:t>Students will send their weekly jou</w:t>
      </w:r>
      <w:r w:rsidR="00631D47">
        <w:rPr>
          <w:sz w:val="24"/>
        </w:rPr>
        <w:t>rnal response to the university supervisor</w:t>
      </w:r>
      <w:r>
        <w:rPr>
          <w:sz w:val="24"/>
        </w:rPr>
        <w:t xml:space="preserve"> via </w:t>
      </w:r>
      <w:r w:rsidR="00A93372">
        <w:rPr>
          <w:sz w:val="24"/>
        </w:rPr>
        <w:t xml:space="preserve">e-mail.  </w:t>
      </w:r>
    </w:p>
    <w:p w:rsidR="00B05581" w:rsidRDefault="00B05581" w:rsidP="00B05581">
      <w:pPr>
        <w:rPr>
          <w:rFonts w:ascii="Bradley Hand ITC" w:hAnsi="Bradley Hand ITC"/>
          <w:sz w:val="24"/>
          <w:u w:val="single"/>
        </w:rPr>
      </w:pPr>
    </w:p>
    <w:p w:rsidR="006A364C" w:rsidRPr="006A364C" w:rsidRDefault="006A364C" w:rsidP="006A364C">
      <w:pPr>
        <w:numPr>
          <w:ilvl w:val="0"/>
          <w:numId w:val="11"/>
        </w:numPr>
        <w:rPr>
          <w:sz w:val="22"/>
        </w:rPr>
      </w:pPr>
      <w:r>
        <w:rPr>
          <w:rFonts w:ascii="Bradley Hand ITC" w:hAnsi="Bradley Hand ITC"/>
          <w:sz w:val="24"/>
          <w:szCs w:val="24"/>
          <w:highlight w:val="lightGray"/>
          <w:u w:val="single"/>
        </w:rPr>
        <w:t xml:space="preserve">Requirements: </w:t>
      </w:r>
      <w:r w:rsidRPr="006A364C">
        <w:rPr>
          <w:rFonts w:ascii="Bradley Hand ITC" w:hAnsi="Bradley Hand ITC"/>
          <w:sz w:val="24"/>
          <w:szCs w:val="24"/>
          <w:highlight w:val="lightGray"/>
          <w:u w:val="single"/>
        </w:rPr>
        <w:t>Readings</w:t>
      </w:r>
      <w:r>
        <w:rPr>
          <w:rFonts w:ascii="Bradley Hand ITC" w:hAnsi="Bradley Hand ITC"/>
          <w:sz w:val="24"/>
          <w:szCs w:val="24"/>
          <w:highlight w:val="lightGray"/>
          <w:u w:val="single"/>
        </w:rPr>
        <w:t>, Log, Work Samples</w:t>
      </w:r>
      <w:r>
        <w:rPr>
          <w:highlight w:val="lightGray"/>
        </w:rPr>
        <w:t xml:space="preserve"> </w:t>
      </w:r>
      <w:r w:rsidR="006F0CED" w:rsidRPr="006F0CED">
        <w:rPr>
          <w:highlight w:val="lightGray"/>
        </w:rPr>
        <w:t xml:space="preserve">  </w:t>
      </w:r>
    </w:p>
    <w:p w:rsidR="00AE29C6" w:rsidRPr="00AE29C6" w:rsidRDefault="00AE29C6" w:rsidP="00AE29C6">
      <w:pPr>
        <w:ind w:left="360"/>
        <w:rPr>
          <w:sz w:val="24"/>
          <w:szCs w:val="24"/>
        </w:rPr>
      </w:pPr>
      <w:r w:rsidRPr="00AE29C6">
        <w:rPr>
          <w:sz w:val="24"/>
          <w:szCs w:val="24"/>
          <w:u w:val="single"/>
        </w:rPr>
        <w:t>OUTLINE OF CONTENT:</w:t>
      </w:r>
    </w:p>
    <w:p w:rsidR="00AE29C6" w:rsidRPr="00AE29C6" w:rsidRDefault="00AE29C6" w:rsidP="00AE29C6">
      <w:pPr>
        <w:ind w:left="360"/>
        <w:rPr>
          <w:sz w:val="24"/>
          <w:szCs w:val="24"/>
        </w:rPr>
      </w:pPr>
      <w:r w:rsidRPr="00AE29C6">
        <w:rPr>
          <w:sz w:val="24"/>
          <w:szCs w:val="24"/>
        </w:rPr>
        <w:t> Class 1: Importance of portfolios, use of portfolios, portfolio rubric, 6 curriculum</w:t>
      </w:r>
      <w:r w:rsidR="00086A7E">
        <w:rPr>
          <w:sz w:val="24"/>
          <w:szCs w:val="24"/>
        </w:rPr>
        <w:t xml:space="preserve"> areas</w:t>
      </w:r>
      <w:r w:rsidRPr="00AE29C6">
        <w:rPr>
          <w:sz w:val="24"/>
          <w:szCs w:val="24"/>
        </w:rPr>
        <w:t>, grid to assist in planning portfolio sections, tips for designing portfolios, and work time on computer.</w:t>
      </w:r>
    </w:p>
    <w:p w:rsidR="00AE29C6" w:rsidRPr="00AE29C6" w:rsidRDefault="00AE29C6" w:rsidP="00AE29C6">
      <w:pPr>
        <w:ind w:left="360"/>
        <w:rPr>
          <w:sz w:val="24"/>
          <w:szCs w:val="24"/>
        </w:rPr>
      </w:pPr>
    </w:p>
    <w:p w:rsidR="00AE29C6" w:rsidRPr="00AE29C6" w:rsidRDefault="00214D2D" w:rsidP="00AE29C6">
      <w:pPr>
        <w:ind w:left="360"/>
        <w:rPr>
          <w:sz w:val="24"/>
          <w:szCs w:val="24"/>
        </w:rPr>
      </w:pPr>
      <w:r>
        <w:rPr>
          <w:sz w:val="24"/>
          <w:szCs w:val="24"/>
        </w:rPr>
        <w:t>Class 2: Review grid</w:t>
      </w:r>
      <w:r w:rsidR="00AE29C6" w:rsidRPr="00AE29C6">
        <w:rPr>
          <w:sz w:val="24"/>
          <w:szCs w:val="24"/>
        </w:rPr>
        <w:t>; model how to write reflections for the artifacts; peer evaluate connections between artifacts, curricul</w:t>
      </w:r>
      <w:r w:rsidR="003F73DF">
        <w:rPr>
          <w:sz w:val="24"/>
          <w:szCs w:val="24"/>
        </w:rPr>
        <w:t>um areas</w:t>
      </w:r>
      <w:r w:rsidR="00086A7E">
        <w:rPr>
          <w:sz w:val="24"/>
          <w:szCs w:val="24"/>
        </w:rPr>
        <w:t>; and work time on computer.</w:t>
      </w:r>
      <w:r w:rsidR="00AE29C6" w:rsidRPr="00AE29C6">
        <w:rPr>
          <w:sz w:val="24"/>
          <w:szCs w:val="24"/>
        </w:rPr>
        <w:t xml:space="preserve"> </w:t>
      </w:r>
      <w:proofErr w:type="gramStart"/>
      <w:r w:rsidR="00AE29C6">
        <w:rPr>
          <w:sz w:val="24"/>
          <w:szCs w:val="24"/>
        </w:rPr>
        <w:t>Portfolio 1 requirements.</w:t>
      </w:r>
      <w:proofErr w:type="gramEnd"/>
      <w:r w:rsidR="00AE29C6">
        <w:rPr>
          <w:sz w:val="24"/>
          <w:szCs w:val="24"/>
        </w:rPr>
        <w:t xml:space="preserve"> </w:t>
      </w:r>
    </w:p>
    <w:p w:rsidR="00AE29C6" w:rsidRPr="00AE29C6" w:rsidRDefault="00AE29C6" w:rsidP="00AE29C6">
      <w:pPr>
        <w:ind w:left="360"/>
        <w:rPr>
          <w:sz w:val="24"/>
          <w:szCs w:val="24"/>
        </w:rPr>
      </w:pPr>
    </w:p>
    <w:p w:rsidR="00AE29C6" w:rsidRPr="00AE29C6" w:rsidRDefault="00AE29C6" w:rsidP="00AE29C6">
      <w:pPr>
        <w:ind w:left="360"/>
        <w:rPr>
          <w:sz w:val="24"/>
          <w:szCs w:val="24"/>
        </w:rPr>
      </w:pPr>
      <w:r w:rsidRPr="00AE29C6">
        <w:rPr>
          <w:sz w:val="24"/>
          <w:szCs w:val="24"/>
        </w:rPr>
        <w:t xml:space="preserve">Class 3: Students will bring one complete reflection and the class will apply the rubric to the examples. Other content activities </w:t>
      </w:r>
      <w:proofErr w:type="gramStart"/>
      <w:r w:rsidRPr="00AE29C6">
        <w:rPr>
          <w:sz w:val="24"/>
          <w:szCs w:val="24"/>
        </w:rPr>
        <w:t>include:</w:t>
      </w:r>
      <w:proofErr w:type="gramEnd"/>
      <w:r w:rsidRPr="00AE29C6">
        <w:rPr>
          <w:sz w:val="24"/>
          <w:szCs w:val="24"/>
        </w:rPr>
        <w:t xml:space="preserve"> strategies to determine alignments between artifacts and theory and research, applying APA, and work time on computer.  </w:t>
      </w:r>
    </w:p>
    <w:p w:rsidR="00AE29C6" w:rsidRPr="00AE29C6" w:rsidRDefault="00AE29C6" w:rsidP="00AE29C6">
      <w:pPr>
        <w:ind w:left="360"/>
        <w:rPr>
          <w:sz w:val="24"/>
          <w:szCs w:val="24"/>
        </w:rPr>
      </w:pPr>
    </w:p>
    <w:p w:rsidR="00AE29C6" w:rsidRPr="00AE29C6" w:rsidRDefault="00AE29C6" w:rsidP="00AE29C6">
      <w:pPr>
        <w:ind w:left="360"/>
        <w:rPr>
          <w:sz w:val="24"/>
          <w:szCs w:val="24"/>
        </w:rPr>
      </w:pPr>
      <w:r w:rsidRPr="00AE29C6">
        <w:rPr>
          <w:sz w:val="24"/>
          <w:szCs w:val="24"/>
        </w:rPr>
        <w:t xml:space="preserve">Class 4: What happens after the portfolio is turned in, how to use a portfolio in an interview, and work time on </w:t>
      </w:r>
      <w:proofErr w:type="gramStart"/>
      <w:r w:rsidRPr="00AE29C6">
        <w:rPr>
          <w:sz w:val="24"/>
          <w:szCs w:val="24"/>
        </w:rPr>
        <w:t>computer.</w:t>
      </w:r>
      <w:proofErr w:type="gramEnd"/>
      <w:r w:rsidRPr="00AE29C6">
        <w:rPr>
          <w:sz w:val="24"/>
          <w:szCs w:val="24"/>
        </w:rPr>
        <w:t xml:space="preserve">   </w:t>
      </w:r>
    </w:p>
    <w:p w:rsidR="00AE29C6" w:rsidRPr="00AE29C6" w:rsidRDefault="00AE29C6" w:rsidP="00AE29C6">
      <w:pPr>
        <w:ind w:left="360"/>
        <w:rPr>
          <w:sz w:val="24"/>
          <w:szCs w:val="24"/>
        </w:rPr>
      </w:pPr>
      <w:r w:rsidRPr="00AE29C6">
        <w:rPr>
          <w:sz w:val="24"/>
          <w:szCs w:val="24"/>
        </w:rPr>
        <w:t> </w:t>
      </w:r>
    </w:p>
    <w:p w:rsidR="00A63102" w:rsidRDefault="00AE29C6">
      <w:pPr>
        <w:ind w:left="450" w:hanging="450"/>
        <w:rPr>
          <w:rFonts w:ascii="Bradley Hand ITC" w:hAnsi="Bradley Hand ITC"/>
          <w:sz w:val="24"/>
          <w:u w:val="single"/>
        </w:rPr>
      </w:pPr>
      <w:r>
        <w:rPr>
          <w:rFonts w:ascii="Bradley Hand ITC" w:hAnsi="Bradley Hand ITC"/>
          <w:sz w:val="24"/>
        </w:rPr>
        <w:t>4</w:t>
      </w:r>
      <w:r w:rsidR="00A63102">
        <w:rPr>
          <w:rFonts w:ascii="Bradley Hand ITC" w:hAnsi="Bradley Hand ITC"/>
          <w:sz w:val="24"/>
        </w:rPr>
        <w:t>.</w:t>
      </w:r>
      <w:r w:rsidR="00A63102">
        <w:rPr>
          <w:rFonts w:ascii="Bradley Hand ITC" w:hAnsi="Bradley Hand ITC"/>
          <w:sz w:val="24"/>
        </w:rPr>
        <w:tab/>
      </w:r>
      <w:r w:rsidR="00A63102">
        <w:rPr>
          <w:rFonts w:ascii="Bradley Hand ITC" w:hAnsi="Bradley Hand ITC"/>
          <w:sz w:val="24"/>
          <w:u w:val="single"/>
        </w:rPr>
        <w:t>Assessment Procedure and Criteria for Objectives 1-6</w:t>
      </w:r>
    </w:p>
    <w:p w:rsidR="00A63102" w:rsidRDefault="00A63102">
      <w:pPr>
        <w:rPr>
          <w:rFonts w:ascii="Bradley Hand ITC" w:hAnsi="Bradley Hand ITC"/>
          <w:sz w:val="24"/>
        </w:rPr>
      </w:pPr>
    </w:p>
    <w:tbl>
      <w:tblPr>
        <w:tblW w:w="4980" w:type="pct"/>
        <w:tblCellMar>
          <w:left w:w="0" w:type="dxa"/>
          <w:right w:w="0" w:type="dxa"/>
        </w:tblCellMar>
        <w:tblLook w:val="04A0"/>
      </w:tblPr>
      <w:tblGrid>
        <w:gridCol w:w="8247"/>
      </w:tblGrid>
      <w:tr w:rsidR="00AE29C6" w:rsidRPr="00AE29C6" w:rsidTr="00AD6C09">
        <w:tc>
          <w:tcPr>
            <w:tcW w:w="5000" w:type="pct"/>
            <w:vAlign w:val="center"/>
            <w:hideMark/>
          </w:tcPr>
          <w:p w:rsidR="00AE29C6" w:rsidRPr="00AE29C6" w:rsidRDefault="00AE29C6" w:rsidP="00D77DD4">
            <w:pPr>
              <w:rPr>
                <w:sz w:val="24"/>
                <w:szCs w:val="24"/>
              </w:rPr>
            </w:pPr>
            <w:r w:rsidRPr="00AE29C6">
              <w:rPr>
                <w:sz w:val="24"/>
                <w:szCs w:val="24"/>
              </w:rPr>
              <w:t xml:space="preserve">STUDENT ASSESSMENT/EVALUATION:  </w:t>
            </w:r>
          </w:p>
        </w:tc>
      </w:tr>
    </w:tbl>
    <w:p w:rsidR="00A63102" w:rsidRDefault="00AE29C6">
      <w:pPr>
        <w:rPr>
          <w:rFonts w:ascii="Bradley Hand ITC" w:hAnsi="Bradley Hand ITC"/>
          <w:sz w:val="24"/>
        </w:rPr>
      </w:pPr>
      <w:r w:rsidRPr="00AE29C6">
        <w:rPr>
          <w:sz w:val="24"/>
          <w:szCs w:val="24"/>
        </w:rPr>
        <w:t xml:space="preserve">Undergraduate students must receive </w:t>
      </w:r>
      <w:r w:rsidR="00D77DD4">
        <w:rPr>
          <w:sz w:val="24"/>
          <w:szCs w:val="24"/>
        </w:rPr>
        <w:t>72/120</w:t>
      </w:r>
      <w:r w:rsidRPr="00AE29C6">
        <w:rPr>
          <w:sz w:val="24"/>
          <w:szCs w:val="24"/>
        </w:rPr>
        <w:t xml:space="preserve"> on the portfolio rubric to receive a passing score in the class.  If students score </w:t>
      </w:r>
      <w:r w:rsidR="00D77DD4">
        <w:rPr>
          <w:sz w:val="24"/>
          <w:szCs w:val="24"/>
        </w:rPr>
        <w:t>71</w:t>
      </w:r>
      <w:r w:rsidRPr="00AE29C6">
        <w:rPr>
          <w:sz w:val="24"/>
          <w:szCs w:val="24"/>
        </w:rPr>
        <w:t xml:space="preserve"> or lower, students must revise the portfolios and present it in front of the Teacher Education Committee to determine their eligibility for student teaching.</w:t>
      </w:r>
    </w:p>
    <w:sectPr w:rsidR="00A63102" w:rsidSect="00BF1587">
      <w:headerReference w:type="default" r:id="rId10"/>
      <w:pgSz w:w="12240" w:h="15840"/>
      <w:pgMar w:top="1440" w:right="1800" w:bottom="1440" w:left="2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D2D" w:rsidRDefault="00214D2D">
      <w:r>
        <w:separator/>
      </w:r>
    </w:p>
  </w:endnote>
  <w:endnote w:type="continuationSeparator" w:id="0">
    <w:p w:rsidR="00214D2D" w:rsidRDefault="00214D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TechnoHeavy">
    <w:altName w:val="Courier New"/>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each">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D2D" w:rsidRDefault="00214D2D">
      <w:r>
        <w:separator/>
      </w:r>
    </w:p>
  </w:footnote>
  <w:footnote w:type="continuationSeparator" w:id="0">
    <w:p w:rsidR="00214D2D" w:rsidRDefault="00214D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D2D" w:rsidRDefault="00214D2D">
    <w:pPr>
      <w:pStyle w:val="Header"/>
    </w:pPr>
    <w:r>
      <w:t xml:space="preserve">EDU 400, </w:t>
    </w:r>
    <w:r w:rsidR="00FA2143">
      <w:rPr>
        <w:rStyle w:val="PageNumber"/>
      </w:rPr>
      <w:fldChar w:fldCharType="begin"/>
    </w:r>
    <w:r>
      <w:rPr>
        <w:rStyle w:val="PageNumber"/>
      </w:rPr>
      <w:instrText xml:space="preserve"> PAGE </w:instrText>
    </w:r>
    <w:r w:rsidR="00FA2143">
      <w:rPr>
        <w:rStyle w:val="PageNumber"/>
      </w:rPr>
      <w:fldChar w:fldCharType="separate"/>
    </w:r>
    <w:r w:rsidR="00D77DD4">
      <w:rPr>
        <w:rStyle w:val="PageNumber"/>
        <w:noProof/>
      </w:rPr>
      <w:t>2</w:t>
    </w:r>
    <w:r w:rsidR="00FA2143">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66B"/>
    <w:multiLevelType w:val="hybridMultilevel"/>
    <w:tmpl w:val="26644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90D6865"/>
    <w:multiLevelType w:val="hybridMultilevel"/>
    <w:tmpl w:val="0F44E0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812838"/>
    <w:multiLevelType w:val="hybridMultilevel"/>
    <w:tmpl w:val="0202871E"/>
    <w:lvl w:ilvl="0" w:tplc="1BC84E22">
      <w:start w:val="1"/>
      <w:numFmt w:val="decimal"/>
      <w:lvlText w:val="%1."/>
      <w:lvlJc w:val="left"/>
      <w:pPr>
        <w:ind w:left="1080" w:hanging="360"/>
      </w:pPr>
      <w:rPr>
        <w:rFonts w:ascii="Bradley Hand ITC" w:hAnsi="Bradley Hand ITC"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BB632D"/>
    <w:multiLevelType w:val="hybridMultilevel"/>
    <w:tmpl w:val="2EE220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CD0E12"/>
    <w:multiLevelType w:val="hybridMultilevel"/>
    <w:tmpl w:val="F9F6DC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7891980"/>
    <w:multiLevelType w:val="hybridMultilevel"/>
    <w:tmpl w:val="8E9099EA"/>
    <w:lvl w:ilvl="0" w:tplc="9194535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1FB61BF"/>
    <w:multiLevelType w:val="hybridMultilevel"/>
    <w:tmpl w:val="37C27D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3A1035E"/>
    <w:multiLevelType w:val="hybridMultilevel"/>
    <w:tmpl w:val="BEE278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A37404A"/>
    <w:multiLevelType w:val="hybridMultilevel"/>
    <w:tmpl w:val="0F44E0F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FF2036B"/>
    <w:multiLevelType w:val="hybridMultilevel"/>
    <w:tmpl w:val="9662B1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6E93927"/>
    <w:multiLevelType w:val="multilevel"/>
    <w:tmpl w:val="AA669DA2"/>
    <w:lvl w:ilvl="0">
      <w:start w:val="1"/>
      <w:numFmt w:val="decimal"/>
      <w:lvlText w:val="%1."/>
      <w:legacy w:legacy="1" w:legacySpace="120" w:legacyIndent="360"/>
      <w:lvlJc w:val="left"/>
      <w:pPr>
        <w:ind w:left="360" w:hanging="360"/>
      </w:pPr>
      <w:rPr>
        <w:rFonts w:ascii="TechnoHeavy" w:hAnsi="TechnoHeavy"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3DBF1B96"/>
    <w:multiLevelType w:val="hybridMultilevel"/>
    <w:tmpl w:val="5632500A"/>
    <w:lvl w:ilvl="0" w:tplc="3806938C">
      <w:start w:val="1"/>
      <w:numFmt w:val="bullet"/>
      <w:lvlText w:val=""/>
      <w:lvlJc w:val="left"/>
      <w:pPr>
        <w:tabs>
          <w:tab w:val="num" w:pos="720"/>
        </w:tabs>
        <w:ind w:left="720" w:hanging="360"/>
      </w:pPr>
      <w:rPr>
        <w:rFonts w:ascii="Wingdings 2" w:hAnsi="Wingdings 2"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F4B5EC9"/>
    <w:multiLevelType w:val="hybridMultilevel"/>
    <w:tmpl w:val="35988F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405D7338"/>
    <w:multiLevelType w:val="hybridMultilevel"/>
    <w:tmpl w:val="0F44E0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C4C4523"/>
    <w:multiLevelType w:val="hybridMultilevel"/>
    <w:tmpl w:val="0D5E22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1CB1DFE"/>
    <w:multiLevelType w:val="multilevel"/>
    <w:tmpl w:val="A7A60DAE"/>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5ED73582"/>
    <w:multiLevelType w:val="hybridMultilevel"/>
    <w:tmpl w:val="FBC2E0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056C86"/>
    <w:multiLevelType w:val="hybridMultilevel"/>
    <w:tmpl w:val="0F44E0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95A5F99"/>
    <w:multiLevelType w:val="hybridMultilevel"/>
    <w:tmpl w:val="5ABA1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380E29"/>
    <w:multiLevelType w:val="multilevel"/>
    <w:tmpl w:val="E08036AC"/>
    <w:lvl w:ilvl="0">
      <w:start w:val="1"/>
      <w:numFmt w:val="decimal"/>
      <w:lvlText w:val="%1."/>
      <w:legacy w:legacy="1" w:legacySpace="120" w:legacyIndent="360"/>
      <w:lvlJc w:val="left"/>
      <w:pPr>
        <w:ind w:left="360" w:hanging="360"/>
      </w:pPr>
      <w:rPr>
        <w:rFonts w:ascii="TechnoHeavy" w:hAnsi="TechnoHeavy"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72C42869"/>
    <w:multiLevelType w:val="hybridMultilevel"/>
    <w:tmpl w:val="0F44E0F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B1952C7"/>
    <w:multiLevelType w:val="multilevel"/>
    <w:tmpl w:val="AA669DA2"/>
    <w:lvl w:ilvl="0">
      <w:start w:val="1"/>
      <w:numFmt w:val="decimal"/>
      <w:lvlText w:val="%1."/>
      <w:legacy w:legacy="1" w:legacySpace="120" w:legacyIndent="360"/>
      <w:lvlJc w:val="left"/>
      <w:pPr>
        <w:ind w:left="360" w:hanging="360"/>
      </w:pPr>
      <w:rPr>
        <w:rFonts w:ascii="TechnoHeavy" w:hAnsi="TechnoHeavy"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7D260126"/>
    <w:multiLevelType w:val="hybridMultilevel"/>
    <w:tmpl w:val="942E0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9"/>
    <w:lvlOverride w:ilvl="0">
      <w:lvl w:ilvl="0">
        <w:start w:val="1"/>
        <w:numFmt w:val="decimal"/>
        <w:lvlText w:val="%1."/>
        <w:legacy w:legacy="1" w:legacySpace="120" w:legacyIndent="360"/>
        <w:lvlJc w:val="left"/>
        <w:pPr>
          <w:ind w:left="360" w:hanging="360"/>
        </w:pPr>
        <w:rPr>
          <w:rFonts w:ascii="TechnoHeavy" w:hAnsi="TechnoHeavy"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
    <w:abstractNumId w:val="19"/>
    <w:lvlOverride w:ilvl="0">
      <w:lvl w:ilvl="0">
        <w:start w:val="1"/>
        <w:numFmt w:val="decimal"/>
        <w:lvlText w:val="%1."/>
        <w:legacy w:legacy="1" w:legacySpace="120" w:legacyIndent="360"/>
        <w:lvlJc w:val="left"/>
        <w:pPr>
          <w:ind w:left="360" w:hanging="360"/>
        </w:pPr>
        <w:rPr>
          <w:rFonts w:ascii="TechnoHeavy" w:hAnsi="TechnoHeavy"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19"/>
    <w:lvlOverride w:ilvl="0">
      <w:lvl w:ilvl="0">
        <w:start w:val="1"/>
        <w:numFmt w:val="decimal"/>
        <w:lvlText w:val="%1."/>
        <w:legacy w:legacy="1" w:legacySpace="120" w:legacyIndent="360"/>
        <w:lvlJc w:val="left"/>
        <w:pPr>
          <w:ind w:left="360" w:hanging="360"/>
        </w:pPr>
        <w:rPr>
          <w:rFonts w:ascii="TechnoHeavy" w:hAnsi="TechnoHeavy"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19"/>
    <w:lvlOverride w:ilvl="0">
      <w:lvl w:ilvl="0">
        <w:start w:val="1"/>
        <w:numFmt w:val="decimal"/>
        <w:lvlText w:val="%1."/>
        <w:legacy w:legacy="1" w:legacySpace="120" w:legacyIndent="360"/>
        <w:lvlJc w:val="left"/>
        <w:pPr>
          <w:ind w:left="360" w:hanging="360"/>
        </w:pPr>
        <w:rPr>
          <w:rFonts w:ascii="TechnoHeavy" w:hAnsi="TechnoHeavy"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21"/>
  </w:num>
  <w:num w:numId="7">
    <w:abstractNumId w:val="21"/>
    <w:lvlOverride w:ilvl="0">
      <w:lvl w:ilvl="0">
        <w:start w:val="1"/>
        <w:numFmt w:val="decimal"/>
        <w:lvlText w:val="%1."/>
        <w:legacy w:legacy="1" w:legacySpace="120" w:legacyIndent="360"/>
        <w:lvlJc w:val="left"/>
        <w:pPr>
          <w:ind w:left="360" w:hanging="360"/>
        </w:pPr>
        <w:rPr>
          <w:rFonts w:ascii="TechnoHeavy" w:hAnsi="TechnoHeavy"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8">
    <w:abstractNumId w:val="21"/>
    <w:lvlOverride w:ilvl="0">
      <w:lvl w:ilvl="0">
        <w:start w:val="1"/>
        <w:numFmt w:val="decimal"/>
        <w:lvlText w:val="%1."/>
        <w:legacy w:legacy="1" w:legacySpace="120" w:legacyIndent="360"/>
        <w:lvlJc w:val="left"/>
        <w:pPr>
          <w:ind w:left="360" w:hanging="360"/>
        </w:pPr>
        <w:rPr>
          <w:rFonts w:ascii="TechnoHeavy" w:hAnsi="TechnoHeavy"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21"/>
    <w:lvlOverride w:ilvl="0">
      <w:lvl w:ilvl="0">
        <w:start w:val="1"/>
        <w:numFmt w:val="decimal"/>
        <w:lvlText w:val="%1."/>
        <w:legacy w:legacy="1" w:legacySpace="120" w:legacyIndent="360"/>
        <w:lvlJc w:val="left"/>
        <w:pPr>
          <w:ind w:left="360" w:hanging="360"/>
        </w:pPr>
        <w:rPr>
          <w:rFonts w:ascii="TechnoHeavy" w:hAnsi="TechnoHeavy"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abstractNumId w:val="21"/>
    <w:lvlOverride w:ilvl="0">
      <w:lvl w:ilvl="0">
        <w:start w:val="1"/>
        <w:numFmt w:val="decimal"/>
        <w:lvlText w:val="%1."/>
        <w:legacy w:legacy="1" w:legacySpace="120" w:legacyIndent="360"/>
        <w:lvlJc w:val="left"/>
        <w:pPr>
          <w:ind w:left="360" w:hanging="360"/>
        </w:pPr>
        <w:rPr>
          <w:rFonts w:ascii="TechnoHeavy" w:hAnsi="TechnoHeavy"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1">
    <w:abstractNumId w:val="21"/>
    <w:lvlOverride w:ilvl="0">
      <w:lvl w:ilvl="0">
        <w:start w:val="1"/>
        <w:numFmt w:val="decimal"/>
        <w:lvlText w:val="%1."/>
        <w:legacy w:legacy="1" w:legacySpace="120" w:legacyIndent="360"/>
        <w:lvlJc w:val="left"/>
        <w:pPr>
          <w:ind w:left="360" w:hanging="360"/>
        </w:pPr>
        <w:rPr>
          <w:rFonts w:ascii="TechnoHeavy" w:hAnsi="TechnoHeavy"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2">
    <w:abstractNumId w:val="21"/>
    <w:lvlOverride w:ilvl="0">
      <w:lvl w:ilvl="0">
        <w:start w:val="1"/>
        <w:numFmt w:val="decimal"/>
        <w:lvlText w:val="%1."/>
        <w:legacy w:legacy="1" w:legacySpace="120" w:legacyIndent="360"/>
        <w:lvlJc w:val="left"/>
        <w:pPr>
          <w:ind w:left="360" w:hanging="360"/>
        </w:pPr>
        <w:rPr>
          <w:rFonts w:ascii="TechnoHeavy" w:hAnsi="TechnoHeavy"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3">
    <w:abstractNumId w:val="8"/>
  </w:num>
  <w:num w:numId="14">
    <w:abstractNumId w:val="13"/>
  </w:num>
  <w:num w:numId="15">
    <w:abstractNumId w:val="20"/>
  </w:num>
  <w:num w:numId="16">
    <w:abstractNumId w:val="1"/>
  </w:num>
  <w:num w:numId="17">
    <w:abstractNumId w:val="9"/>
  </w:num>
  <w:num w:numId="18">
    <w:abstractNumId w:val="4"/>
  </w:num>
  <w:num w:numId="19">
    <w:abstractNumId w:val="14"/>
  </w:num>
  <w:num w:numId="20">
    <w:abstractNumId w:val="0"/>
  </w:num>
  <w:num w:numId="21">
    <w:abstractNumId w:val="6"/>
  </w:num>
  <w:num w:numId="22">
    <w:abstractNumId w:val="22"/>
  </w:num>
  <w:num w:numId="23">
    <w:abstractNumId w:val="7"/>
  </w:num>
  <w:num w:numId="24">
    <w:abstractNumId w:val="12"/>
  </w:num>
  <w:num w:numId="25">
    <w:abstractNumId w:val="18"/>
  </w:num>
  <w:num w:numId="26">
    <w:abstractNumId w:val="17"/>
  </w:num>
  <w:num w:numId="27">
    <w:abstractNumId w:val="16"/>
  </w:num>
  <w:num w:numId="28">
    <w:abstractNumId w:val="10"/>
  </w:num>
  <w:num w:numId="29">
    <w:abstractNumId w:val="15"/>
  </w:num>
  <w:num w:numId="30">
    <w:abstractNumId w:val="5"/>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F0CED"/>
    <w:rsid w:val="00086A7E"/>
    <w:rsid w:val="000D5CEB"/>
    <w:rsid w:val="000E0A33"/>
    <w:rsid w:val="0010126A"/>
    <w:rsid w:val="001077F2"/>
    <w:rsid w:val="00111972"/>
    <w:rsid w:val="001D4012"/>
    <w:rsid w:val="001F006D"/>
    <w:rsid w:val="00214D2D"/>
    <w:rsid w:val="002301BB"/>
    <w:rsid w:val="002503F9"/>
    <w:rsid w:val="002D2CDE"/>
    <w:rsid w:val="002F0613"/>
    <w:rsid w:val="003352C2"/>
    <w:rsid w:val="003E1385"/>
    <w:rsid w:val="003F73DF"/>
    <w:rsid w:val="00415DE3"/>
    <w:rsid w:val="004359C4"/>
    <w:rsid w:val="004B0D85"/>
    <w:rsid w:val="0050678B"/>
    <w:rsid w:val="005373CD"/>
    <w:rsid w:val="005E31DE"/>
    <w:rsid w:val="00631D47"/>
    <w:rsid w:val="006A364C"/>
    <w:rsid w:val="006F0CED"/>
    <w:rsid w:val="00705792"/>
    <w:rsid w:val="00761843"/>
    <w:rsid w:val="007C3A83"/>
    <w:rsid w:val="00910A00"/>
    <w:rsid w:val="009F0C6B"/>
    <w:rsid w:val="00A11E71"/>
    <w:rsid w:val="00A63102"/>
    <w:rsid w:val="00A93372"/>
    <w:rsid w:val="00AD6C09"/>
    <w:rsid w:val="00AE29C6"/>
    <w:rsid w:val="00B05581"/>
    <w:rsid w:val="00B4578F"/>
    <w:rsid w:val="00BA6576"/>
    <w:rsid w:val="00BB6DCB"/>
    <w:rsid w:val="00BE5733"/>
    <w:rsid w:val="00BF1587"/>
    <w:rsid w:val="00C2037C"/>
    <w:rsid w:val="00C32B66"/>
    <w:rsid w:val="00C471CD"/>
    <w:rsid w:val="00CE0EFB"/>
    <w:rsid w:val="00D06F45"/>
    <w:rsid w:val="00D31291"/>
    <w:rsid w:val="00D77DD4"/>
    <w:rsid w:val="00EA43C9"/>
    <w:rsid w:val="00F27A94"/>
    <w:rsid w:val="00F50FFD"/>
    <w:rsid w:val="00F80E24"/>
    <w:rsid w:val="00F906A8"/>
    <w:rsid w:val="00FA2143"/>
    <w:rsid w:val="00FA24AF"/>
    <w:rsid w:val="00FE6971"/>
    <w:rsid w:val="00FF07CE"/>
    <w:rsid w:val="00FF3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587"/>
  </w:style>
  <w:style w:type="paragraph" w:styleId="Heading1">
    <w:name w:val="heading 1"/>
    <w:basedOn w:val="Normal"/>
    <w:next w:val="Normal"/>
    <w:qFormat/>
    <w:rsid w:val="00BF1587"/>
    <w:pPr>
      <w:keepNext/>
      <w:jc w:val="right"/>
      <w:outlineLvl w:val="0"/>
    </w:pPr>
    <w:rPr>
      <w:rFonts w:ascii="Beach" w:hAnsi="Beach"/>
      <w:sz w:val="32"/>
    </w:rPr>
  </w:style>
  <w:style w:type="paragraph" w:styleId="Heading2">
    <w:name w:val="heading 2"/>
    <w:basedOn w:val="Normal"/>
    <w:next w:val="Normal"/>
    <w:qFormat/>
    <w:rsid w:val="00BF1587"/>
    <w:pPr>
      <w:keepNext/>
      <w:outlineLvl w:val="1"/>
    </w:pPr>
    <w:rPr>
      <w:sz w:val="24"/>
    </w:rPr>
  </w:style>
  <w:style w:type="paragraph" w:styleId="Heading3">
    <w:name w:val="heading 3"/>
    <w:basedOn w:val="Normal"/>
    <w:next w:val="Normal"/>
    <w:qFormat/>
    <w:rsid w:val="00BF1587"/>
    <w:pPr>
      <w:keepNext/>
      <w:ind w:right="-360"/>
      <w:outlineLvl w:val="2"/>
    </w:pPr>
    <w:rPr>
      <w:sz w:val="24"/>
    </w:rPr>
  </w:style>
  <w:style w:type="paragraph" w:styleId="Heading4">
    <w:name w:val="heading 4"/>
    <w:basedOn w:val="Normal"/>
    <w:next w:val="Normal"/>
    <w:qFormat/>
    <w:rsid w:val="00BF1587"/>
    <w:pPr>
      <w:keepNext/>
      <w:jc w:val="center"/>
      <w:outlineLvl w:val="3"/>
    </w:pPr>
    <w:rPr>
      <w:rFonts w:ascii="TechnoHeavy" w:hAnsi="TechnoHeavy"/>
      <w:sz w:val="24"/>
    </w:rPr>
  </w:style>
  <w:style w:type="paragraph" w:styleId="Heading5">
    <w:name w:val="heading 5"/>
    <w:basedOn w:val="Normal"/>
    <w:next w:val="Normal"/>
    <w:qFormat/>
    <w:rsid w:val="00BF1587"/>
    <w:pPr>
      <w:keepNext/>
      <w:jc w:val="center"/>
      <w:outlineLvl w:val="4"/>
    </w:pPr>
    <w:rPr>
      <w:rFonts w:ascii="TechnoHeavy" w:hAnsi="TechnoHeavy"/>
      <w:sz w:val="24"/>
      <w:u w:val="single"/>
    </w:rPr>
  </w:style>
  <w:style w:type="paragraph" w:styleId="Heading6">
    <w:name w:val="heading 6"/>
    <w:basedOn w:val="Normal"/>
    <w:next w:val="Normal"/>
    <w:qFormat/>
    <w:rsid w:val="00BF1587"/>
    <w:pPr>
      <w:keepNext/>
      <w:outlineLvl w:val="5"/>
    </w:pPr>
    <w:rPr>
      <w:b/>
      <w:bCs/>
    </w:rPr>
  </w:style>
  <w:style w:type="paragraph" w:styleId="Heading7">
    <w:name w:val="heading 7"/>
    <w:basedOn w:val="Normal"/>
    <w:next w:val="Normal"/>
    <w:qFormat/>
    <w:rsid w:val="00BF1587"/>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1587"/>
    <w:rPr>
      <w:color w:val="0000FF"/>
      <w:u w:val="single"/>
    </w:rPr>
  </w:style>
  <w:style w:type="paragraph" w:styleId="BodyText">
    <w:name w:val="Body Text"/>
    <w:basedOn w:val="Normal"/>
    <w:rsid w:val="00BF1587"/>
    <w:rPr>
      <w:sz w:val="22"/>
    </w:rPr>
  </w:style>
  <w:style w:type="paragraph" w:styleId="Header">
    <w:name w:val="header"/>
    <w:basedOn w:val="Normal"/>
    <w:rsid w:val="00BF1587"/>
    <w:pPr>
      <w:tabs>
        <w:tab w:val="center" w:pos="4320"/>
        <w:tab w:val="right" w:pos="8640"/>
      </w:tabs>
    </w:pPr>
  </w:style>
  <w:style w:type="paragraph" w:styleId="Footer">
    <w:name w:val="footer"/>
    <w:basedOn w:val="Normal"/>
    <w:rsid w:val="00BF1587"/>
    <w:pPr>
      <w:tabs>
        <w:tab w:val="center" w:pos="4320"/>
        <w:tab w:val="right" w:pos="8640"/>
      </w:tabs>
    </w:pPr>
  </w:style>
  <w:style w:type="character" w:styleId="PageNumber">
    <w:name w:val="page number"/>
    <w:basedOn w:val="DefaultParagraphFont"/>
    <w:rsid w:val="00BF1587"/>
  </w:style>
  <w:style w:type="paragraph" w:styleId="BodyTextIndent">
    <w:name w:val="Body Text Indent"/>
    <w:basedOn w:val="Normal"/>
    <w:rsid w:val="00BF1587"/>
    <w:pPr>
      <w:tabs>
        <w:tab w:val="left" w:pos="360"/>
      </w:tabs>
      <w:ind w:left="360"/>
    </w:pPr>
    <w:rPr>
      <w:sz w:val="22"/>
    </w:rPr>
  </w:style>
  <w:style w:type="paragraph" w:styleId="BodyTextIndent2">
    <w:name w:val="Body Text Indent 2"/>
    <w:basedOn w:val="Normal"/>
    <w:rsid w:val="00BF1587"/>
    <w:pPr>
      <w:ind w:left="540" w:hanging="540"/>
    </w:pPr>
  </w:style>
  <w:style w:type="paragraph" w:styleId="BalloonText">
    <w:name w:val="Balloon Text"/>
    <w:basedOn w:val="Normal"/>
    <w:link w:val="BalloonTextChar"/>
    <w:rsid w:val="003F73DF"/>
    <w:rPr>
      <w:rFonts w:ascii="Tahoma" w:hAnsi="Tahoma" w:cs="Tahoma"/>
      <w:sz w:val="16"/>
      <w:szCs w:val="16"/>
    </w:rPr>
  </w:style>
  <w:style w:type="character" w:customStyle="1" w:styleId="BalloonTextChar">
    <w:name w:val="Balloon Text Char"/>
    <w:basedOn w:val="DefaultParagraphFont"/>
    <w:link w:val="BalloonText"/>
    <w:rsid w:val="003F73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8035256">
      <w:bodyDiv w:val="1"/>
      <w:marLeft w:val="0"/>
      <w:marRight w:val="0"/>
      <w:marTop w:val="0"/>
      <w:marBottom w:val="0"/>
      <w:divBdr>
        <w:top w:val="none" w:sz="0" w:space="0" w:color="auto"/>
        <w:left w:val="none" w:sz="0" w:space="0" w:color="auto"/>
        <w:bottom w:val="none" w:sz="0" w:space="0" w:color="auto"/>
        <w:right w:val="none" w:sz="0" w:space="0" w:color="auto"/>
      </w:divBdr>
    </w:div>
    <w:div w:id="1657105509">
      <w:bodyDiv w:val="1"/>
      <w:marLeft w:val="0"/>
      <w:marRight w:val="0"/>
      <w:marTop w:val="0"/>
      <w:marBottom w:val="0"/>
      <w:divBdr>
        <w:top w:val="none" w:sz="0" w:space="0" w:color="auto"/>
        <w:left w:val="none" w:sz="0" w:space="0" w:color="auto"/>
        <w:bottom w:val="none" w:sz="0" w:space="0" w:color="auto"/>
        <w:right w:val="none" w:sz="0" w:space="0" w:color="auto"/>
      </w:divBdr>
    </w:div>
    <w:div w:id="20916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llie.streufert@usiouxfall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ADB60-8C3D-470E-A6DF-6F81F846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3069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EDU 306</vt:lpstr>
    </vt:vector>
  </TitlesOfParts>
  <Company>-(Dr. Diet Mountain Dew)-</Company>
  <LinksUpToDate>false</LinksUpToDate>
  <CharactersWithSpaces>3578</CharactersWithSpaces>
  <SharedDoc>false</SharedDoc>
  <HLinks>
    <vt:vector size="6" baseType="variant">
      <vt:variant>
        <vt:i4>5046330</vt:i4>
      </vt:variant>
      <vt:variant>
        <vt:i4>0</vt:i4>
      </vt:variant>
      <vt:variant>
        <vt:i4>0</vt:i4>
      </vt:variant>
      <vt:variant>
        <vt:i4>5</vt:i4>
      </vt:variant>
      <vt:variant>
        <vt:lpwstr>mailto:billie.streufert@usiouxfalls.edu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306</dc:title>
  <dc:subject/>
  <dc:creator>Shell &amp; Duane</dc:creator>
  <cp:keywords/>
  <dc:description/>
  <cp:lastModifiedBy>arpeterson</cp:lastModifiedBy>
  <cp:revision>2</cp:revision>
  <cp:lastPrinted>2010-02-11T15:48:00Z</cp:lastPrinted>
  <dcterms:created xsi:type="dcterms:W3CDTF">2011-01-04T14:51:00Z</dcterms:created>
  <dcterms:modified xsi:type="dcterms:W3CDTF">2011-01-04T14:51:00Z</dcterms:modified>
</cp:coreProperties>
</file>